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Umlegung von Ver- und Entsorgungsleitungen auf dem Grundstück der IGS Kastellaun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2026-031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Titel 1: Allgemeine Bau- und Hilfsleistungen
ca. 9.600 mMt Bauzaunvorhaltung 
sowie Baustelleneinrichtungs-, Verkehrssicherungs-, Kontrollprüfungs- und Stundenlohnarbeiten
Titel 2: Kanalbau 
ca. 815 m3 Rohrgrabenaushub / Grabenrückverfüllung
ca. 80 m Schmutzwasserkanal PVC-U DN/OD 160 bis DN/OD 250
ca. 110 m Regenwasserkanal PVC-U DN/OD 315 bis DN/OD 400
ca. 6 St Schachtbauwerke (DN 1.000)
einschl. Anschluss-, Prüf-, Inspektions-, Rückbau- und Oberflächenwiederherstellungsarbeiten
Titel 3: Erdarbeiten Versorgungsleitungen
ca. 350 m3 Rohrgrabenaushub / Grabenrückverfüllung für Fernwärmeleitung
ca. 50 m3 Rohrgrabenaushub / Grabenrückverfüllung für Stromleitung
einschl. Warnbändern, Leitungsquerungen, Suchgräben und Oberflächenwiederherstellung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